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69" w:rsidRPr="00354E69" w:rsidRDefault="00354E69" w:rsidP="00354E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 или муниципальной собственности</w:t>
      </w:r>
    </w:p>
    <w:p w:rsidR="00354E69" w:rsidRPr="00354E69" w:rsidRDefault="00354E69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3843"/>
        <w:gridCol w:w="1982"/>
        <w:gridCol w:w="713"/>
        <w:gridCol w:w="558"/>
        <w:gridCol w:w="293"/>
        <w:gridCol w:w="706"/>
        <w:gridCol w:w="286"/>
        <w:gridCol w:w="864"/>
      </w:tblGrid>
      <w:tr w:rsidR="00354E69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smartTag w:uri="urn:schemas-microsoft-com:office:smarttags" w:element="metricconverter">
              <w:smartTagPr>
                <w:attr w:name="ProductID" w:val="690950, г"/>
              </w:smartTagPr>
              <w:r w:rsidRPr="009A2307">
                <w:rPr>
                  <w:rFonts w:ascii="Arial Narrow" w:hAnsi="Arial Narrow" w:cs="Arial"/>
                </w:rPr>
                <w:t>690950, г</w:t>
              </w:r>
            </w:smartTag>
            <w:r w:rsidRPr="009A2307">
              <w:rPr>
                <w:rFonts w:ascii="Arial Narrow" w:hAnsi="Arial Narrow" w:cs="Arial"/>
              </w:rPr>
              <w:t>. Владивосток, пр-т «Красного Знамени», 10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Dalpress.ru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1C3" w:rsidRPr="009A2307" w:rsidRDefault="00F661C3" w:rsidP="00F661C3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управляющая организация ЗАО «Российские газеты» </w:t>
            </w:r>
          </w:p>
          <w:p w:rsidR="00F661C3" w:rsidRPr="009A2307" w:rsidRDefault="00F661C3" w:rsidP="00F661C3">
            <w:pPr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Власов Сергей Викторович"/>
              </w:smartTagPr>
              <w:r w:rsidRPr="009A2307">
                <w:rPr>
                  <w:rFonts w:ascii="Arial Narrow" w:hAnsi="Arial Narrow" w:cs="Arial"/>
                  <w:b/>
                </w:rPr>
                <w:t>Власов Сергей Викторович</w:t>
              </w:r>
            </w:smartTag>
            <w:r w:rsidRPr="009A2307">
              <w:rPr>
                <w:rFonts w:ascii="Arial Narrow" w:hAnsi="Arial Narrow" w:cs="Arial"/>
              </w:rPr>
              <w:t xml:space="preserve"> – генеральный директор ЗАО «Российские газеты»,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9A2307">
              <w:rPr>
                <w:rFonts w:ascii="Arial Narrow" w:hAnsi="Arial Narrow" w:cs="Arial"/>
              </w:rPr>
              <w:t xml:space="preserve"> – начальни</w:t>
            </w:r>
            <w:r w:rsidR="00CA54DD">
              <w:rPr>
                <w:rFonts w:ascii="Arial Narrow" w:hAnsi="Arial Narrow" w:cs="Arial"/>
              </w:rPr>
              <w:t xml:space="preserve">к  Управления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2016г, протокол № 51 от 16 ноября 2016 г.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инвестиционный план на 2016-2017 гг. утверждены заседанием Совета директоров, протокол № 52 от 29 ноября 2016 г., протокол № 53 от 30 января 2017 г</w:t>
            </w:r>
            <w:r w:rsidR="003527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9A2307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Инвестиционный план на 2017 год утвержден заседанием Совета директоров, протокол № 54 от 19 мая 2017 г.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DF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номинальная стоимость 100 руб.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556ACE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AB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30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.0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6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2017 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137 </w:t>
            </w:r>
            <w:r w:rsidR="006F47CF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5190A" w:rsidP="009F4D67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Дело № </w:t>
            </w:r>
            <w:hyperlink r:id="rId8" w:tgtFrame="_blank" w:history="1">
              <w:r w:rsidR="00764A7F" w:rsidRPr="009A2307">
                <w:rPr>
                  <w:rStyle w:val="a3"/>
                  <w:rFonts w:ascii="Arial Narrow" w:hAnsi="Arial Narrow" w:cs="Arial"/>
                  <w:b/>
                  <w:color w:val="auto"/>
                  <w:sz w:val="22"/>
                  <w:szCs w:val="22"/>
                  <w:u w:val="none"/>
                </w:rPr>
                <w:t xml:space="preserve">А51-2887/2017 </w:t>
              </w:r>
            </w:hyperlink>
            <w:r w:rsidR="00CC7E0F" w:rsidRPr="009A2307">
              <w:rPr>
                <w:rFonts w:ascii="Arial Narrow" w:hAnsi="Arial Narrow" w:cs="Arial"/>
                <w:sz w:val="22"/>
                <w:szCs w:val="22"/>
              </w:rPr>
              <w:t>о взыскании суммы основного долга по договору подряда и неустойки. Основание иска:</w:t>
            </w:r>
            <w:r w:rsidR="006C5408" w:rsidRPr="009A2307">
              <w:rPr>
                <w:rFonts w:ascii="Arial Narrow" w:hAnsi="Arial Narrow" w:cs="Arial"/>
                <w:sz w:val="22"/>
                <w:szCs w:val="22"/>
              </w:rPr>
              <w:t xml:space="preserve"> неоплата подрядчику выполненных работ.</w:t>
            </w:r>
            <w:r w:rsidR="00CC7E0F" w:rsidRPr="009A2307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7337C6" w:rsidRPr="009A2307">
              <w:rPr>
                <w:rFonts w:ascii="Arial Narrow" w:hAnsi="Arial Narrow" w:cs="Arial"/>
                <w:sz w:val="22"/>
                <w:szCs w:val="22"/>
              </w:rPr>
              <w:t xml:space="preserve">Статус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ОАО «ИПК «Дальпресс»</w:t>
            </w:r>
            <w:r w:rsidR="007337C6" w:rsidRPr="009A2307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337C6" w:rsidRPr="009A2307">
              <w:rPr>
                <w:rFonts w:ascii="Arial Narrow" w:hAnsi="Arial Narrow" w:cs="Arial"/>
                <w:sz w:val="22"/>
                <w:szCs w:val="22"/>
              </w:rPr>
              <w:t xml:space="preserve">  ответчик (</w:t>
            </w:r>
            <w:r w:rsidR="006C5408" w:rsidRPr="009A2307">
              <w:rPr>
                <w:rFonts w:ascii="Arial Narrow" w:hAnsi="Arial Narrow" w:cs="Arial"/>
                <w:sz w:val="22"/>
                <w:szCs w:val="22"/>
              </w:rPr>
              <w:t>отказ</w:t>
            </w:r>
            <w:r w:rsidR="007337C6" w:rsidRPr="009A2307">
              <w:rPr>
                <w:rFonts w:ascii="Arial Narrow" w:hAnsi="Arial Narrow" w:cs="Arial"/>
                <w:sz w:val="22"/>
                <w:szCs w:val="22"/>
              </w:rPr>
              <w:t xml:space="preserve"> от</w:t>
            </w:r>
            <w:r w:rsidR="006C5408" w:rsidRPr="009A2307">
              <w:rPr>
                <w:rFonts w:ascii="Arial Narrow" w:hAnsi="Arial Narrow" w:cs="Arial"/>
                <w:sz w:val="22"/>
                <w:szCs w:val="22"/>
              </w:rPr>
              <w:t xml:space="preserve"> опла</w:t>
            </w:r>
            <w:r w:rsidR="007337C6" w:rsidRPr="009A2307">
              <w:rPr>
                <w:rFonts w:ascii="Arial Narrow" w:hAnsi="Arial Narrow" w:cs="Arial"/>
                <w:sz w:val="22"/>
                <w:szCs w:val="22"/>
              </w:rPr>
              <w:t>ты</w:t>
            </w:r>
            <w:r w:rsidR="006C5408" w:rsidRPr="009A2307">
              <w:rPr>
                <w:rFonts w:ascii="Arial Narrow" w:hAnsi="Arial Narrow" w:cs="Arial"/>
                <w:sz w:val="22"/>
                <w:szCs w:val="22"/>
              </w:rPr>
              <w:t xml:space="preserve"> некачественно выполненны</w:t>
            </w:r>
            <w:r w:rsidR="007337C6" w:rsidRPr="009A2307">
              <w:rPr>
                <w:rFonts w:ascii="Arial Narrow" w:hAnsi="Arial Narrow" w:cs="Arial"/>
                <w:sz w:val="22"/>
                <w:szCs w:val="22"/>
              </w:rPr>
              <w:t>х</w:t>
            </w:r>
            <w:r w:rsidR="006C5408" w:rsidRPr="009A2307">
              <w:rPr>
                <w:rFonts w:ascii="Arial Narrow" w:hAnsi="Arial Narrow" w:cs="Arial"/>
                <w:sz w:val="22"/>
                <w:szCs w:val="22"/>
              </w:rPr>
              <w:t xml:space="preserve"> работ</w:t>
            </w:r>
            <w:r w:rsidR="007337C6" w:rsidRPr="009A2307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D20E67" w:rsidRPr="009A2307">
              <w:rPr>
                <w:rFonts w:ascii="Arial Narrow" w:hAnsi="Arial Narrow" w:cs="Arial"/>
                <w:sz w:val="22"/>
                <w:szCs w:val="22"/>
              </w:rPr>
              <w:t>. Судебное разбирательство в</w:t>
            </w:r>
            <w:r w:rsidR="006C5408"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75A0E" w:rsidRPr="009A2307">
              <w:rPr>
                <w:rFonts w:ascii="Arial Narrow" w:hAnsi="Arial Narrow" w:cs="Arial"/>
                <w:sz w:val="22"/>
                <w:szCs w:val="22"/>
              </w:rPr>
              <w:t>1 инстанци</w:t>
            </w:r>
            <w:r w:rsidR="00D20E67" w:rsidRPr="009A2307">
              <w:rPr>
                <w:rFonts w:ascii="Arial Narrow" w:hAnsi="Arial Narrow" w:cs="Arial"/>
                <w:sz w:val="22"/>
                <w:szCs w:val="22"/>
              </w:rPr>
              <w:t>и.</w:t>
            </w:r>
          </w:p>
          <w:p w:rsidR="006C5408" w:rsidRPr="009A2307" w:rsidRDefault="006C5408" w:rsidP="006C5408">
            <w:pPr>
              <w:pStyle w:val="a4"/>
              <w:tabs>
                <w:tab w:val="left" w:pos="9720"/>
              </w:tabs>
              <w:ind w:left="176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33967" w:rsidRPr="00CF5A50" w:rsidRDefault="006C5408" w:rsidP="001C271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F5A50">
              <w:rPr>
                <w:rFonts w:ascii="Arial Narrow" w:hAnsi="Arial Narrow" w:cs="Arial"/>
                <w:b/>
                <w:sz w:val="22"/>
                <w:szCs w:val="22"/>
              </w:rPr>
              <w:t>Д</w:t>
            </w:r>
            <w:r w:rsidR="00882CB4" w:rsidRPr="00CF5A50">
              <w:rPr>
                <w:rFonts w:ascii="Arial Narrow" w:hAnsi="Arial Narrow" w:cs="Arial"/>
                <w:b/>
                <w:sz w:val="22"/>
                <w:szCs w:val="22"/>
              </w:rPr>
              <w:t xml:space="preserve">ело № </w:t>
            </w:r>
            <w:hyperlink r:id="rId9" w:tgtFrame="_blank" w:history="1">
              <w:r w:rsidR="00882CB4" w:rsidRPr="00CF5A50">
                <w:rPr>
                  <w:rStyle w:val="a3"/>
                  <w:rFonts w:ascii="Arial Narrow" w:hAnsi="Arial Narrow" w:cs="Arial"/>
                  <w:b/>
                  <w:color w:val="auto"/>
                  <w:sz w:val="22"/>
                  <w:szCs w:val="22"/>
                  <w:u w:val="none"/>
                </w:rPr>
                <w:t>А51-2462/2017</w:t>
              </w:r>
            </w:hyperlink>
            <w:r w:rsidR="00882CB4" w:rsidRPr="00CF5A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3758E" w:rsidRPr="00CF5A50"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 w:rsidR="00057CA4" w:rsidRPr="00CF5A50">
              <w:rPr>
                <w:rFonts w:ascii="Arial Narrow" w:hAnsi="Arial Narrow" w:cs="Arial"/>
                <w:sz w:val="22"/>
                <w:szCs w:val="22"/>
              </w:rPr>
              <w:t>взыскании неосновательного обогащения и процентов</w:t>
            </w:r>
            <w:r w:rsidR="001C271D" w:rsidRPr="00CF5A5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057CA4" w:rsidRPr="00CF5A50">
              <w:rPr>
                <w:rFonts w:ascii="Arial Narrow" w:hAnsi="Arial Narrow" w:cs="Arial"/>
                <w:sz w:val="22"/>
                <w:szCs w:val="22"/>
              </w:rPr>
              <w:t>за пользование чужими денежными средствами</w:t>
            </w:r>
            <w:r w:rsidR="00C3121E" w:rsidRPr="00CF5A50">
              <w:rPr>
                <w:rFonts w:ascii="Arial Narrow" w:hAnsi="Arial Narrow" w:cs="Arial"/>
                <w:sz w:val="22"/>
                <w:szCs w:val="22"/>
              </w:rPr>
              <w:t xml:space="preserve"> Основание иска</w:t>
            </w:r>
            <w:r w:rsidR="009F4D67" w:rsidRPr="00CF5A50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5F4160" w:rsidRPr="00CF5A50">
              <w:rPr>
                <w:rFonts w:ascii="Arial Narrow" w:hAnsi="Arial Narrow" w:cs="Arial"/>
                <w:sz w:val="22"/>
                <w:szCs w:val="22"/>
              </w:rPr>
              <w:t>оплата подрядчику произведена с учетом невыполненных им объемов работ.</w:t>
            </w:r>
            <w:r w:rsidR="001C271D" w:rsidRPr="00CF5A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337C6" w:rsidRPr="00CF5A50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Статус </w:t>
            </w:r>
            <w:r w:rsidR="00882CB4" w:rsidRPr="00CF5A50">
              <w:rPr>
                <w:rFonts w:ascii="Arial Narrow" w:hAnsi="Arial Narrow" w:cs="Arial"/>
                <w:sz w:val="22"/>
                <w:szCs w:val="22"/>
              </w:rPr>
              <w:t>ОАО «ИПК «Дальпресс»</w:t>
            </w:r>
            <w:r w:rsidR="007337C6" w:rsidRPr="00CF5A50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882CB4" w:rsidRPr="00CF5A50">
              <w:rPr>
                <w:rFonts w:ascii="Arial Narrow" w:hAnsi="Arial Narrow" w:cs="Arial"/>
                <w:sz w:val="22"/>
                <w:szCs w:val="22"/>
              </w:rPr>
              <w:t>истец</w:t>
            </w:r>
            <w:r w:rsidR="00342019" w:rsidRPr="00CF5A50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882CB4" w:rsidRPr="00CF5A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D026A" w:rsidRPr="00CF5A50">
              <w:rPr>
                <w:rFonts w:ascii="Arial Narrow" w:hAnsi="Arial Narrow" w:cs="Arial"/>
                <w:sz w:val="22"/>
                <w:szCs w:val="22"/>
              </w:rPr>
              <w:t>Судебное разбирательство в 1 инстанции.</w:t>
            </w:r>
          </w:p>
          <w:p w:rsidR="00F91924" w:rsidRPr="00CF5A50" w:rsidRDefault="00F91924" w:rsidP="001C271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91924" w:rsidRPr="00CF5A50" w:rsidRDefault="00F91924" w:rsidP="001C271D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F5A50">
              <w:rPr>
                <w:rFonts w:ascii="Arial Narrow" w:hAnsi="Arial Narrow" w:cs="Arial"/>
                <w:b/>
                <w:sz w:val="22"/>
                <w:szCs w:val="22"/>
              </w:rPr>
              <w:t>Дело № А51-15457/2017</w:t>
            </w:r>
            <w:r w:rsidRPr="00CF5A50">
              <w:rPr>
                <w:rFonts w:ascii="Arial Narrow" w:hAnsi="Arial Narrow" w:cs="Arial"/>
                <w:sz w:val="22"/>
                <w:szCs w:val="22"/>
              </w:rPr>
              <w:t xml:space="preserve"> о взыскании задолженности по оплате арендной п</w:t>
            </w:r>
            <w:r w:rsidR="00CF5A50" w:rsidRPr="00CF5A50">
              <w:rPr>
                <w:rFonts w:ascii="Arial Narrow" w:hAnsi="Arial Narrow" w:cs="Arial"/>
                <w:sz w:val="22"/>
                <w:szCs w:val="22"/>
              </w:rPr>
              <w:t>латы. Основание иска: неоплата арендатором арендной платы в размере 34 954, 45 руб. Статус ОАО «ИПК «Дальпресс»: истец. Судебное разбирательство в 1 инстанции.</w:t>
            </w:r>
          </w:p>
          <w:p w:rsidR="00C3121E" w:rsidRPr="009A2307" w:rsidRDefault="00C3121E" w:rsidP="009A2307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8"/>
          </w:p>
        </w:tc>
      </w:tr>
      <w:tr w:rsidR="00737F5F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1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2F4BE4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Оказание рекламных услуг</w:t>
            </w:r>
            <w:r w:rsidR="00553D0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издание рекламного еженедельника газеты «Дальпресс».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366F5A">
        <w:trPr>
          <w:trHeight w:val="126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0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66F5A" w:rsidRPr="009A2307" w:rsidTr="00366F5A">
        <w:trPr>
          <w:trHeight w:val="13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167 614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54 700</w:t>
            </w:r>
          </w:p>
        </w:tc>
      </w:tr>
      <w:tr w:rsidR="00366F5A" w:rsidRPr="009A2307" w:rsidTr="00366F5A">
        <w:trPr>
          <w:trHeight w:val="16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125 448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49 955</w:t>
            </w:r>
          </w:p>
        </w:tc>
      </w:tr>
      <w:tr w:rsidR="00366F5A" w:rsidRPr="009A2307" w:rsidTr="00366F5A">
        <w:trPr>
          <w:trHeight w:val="19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34 514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43 691</w:t>
            </w:r>
          </w:p>
        </w:tc>
      </w:tr>
      <w:tr w:rsidR="00366F5A" w:rsidRPr="009A2307" w:rsidTr="00366F5A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9 756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743</w:t>
            </w:r>
          </w:p>
        </w:tc>
      </w:tr>
      <w:tr w:rsidR="00366F5A" w:rsidRPr="009A2307" w:rsidTr="00366F5A">
        <w:trPr>
          <w:trHeight w:val="21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40 865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3 587</w:t>
            </w:r>
          </w:p>
        </w:tc>
      </w:tr>
      <w:tr w:rsidR="00366F5A" w:rsidRPr="009A2307" w:rsidTr="00366F5A">
        <w:trPr>
          <w:trHeight w:val="22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32 951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715</w:t>
            </w:r>
          </w:p>
        </w:tc>
      </w:tr>
      <w:tr w:rsidR="00366F5A" w:rsidRPr="009A2307" w:rsidTr="00366F5A">
        <w:trPr>
          <w:trHeight w:val="255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7 362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1 219</w:t>
            </w:r>
          </w:p>
        </w:tc>
      </w:tr>
      <w:tr w:rsidR="00366F5A" w:rsidRPr="009A2307" w:rsidTr="00366F5A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8 508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6F5A" w:rsidRPr="009A2307" w:rsidTr="00366F5A">
        <w:trPr>
          <w:trHeight w:val="30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16 083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6F5A" w:rsidRPr="009A2307" w:rsidTr="00366F5A">
        <w:trPr>
          <w:trHeight w:val="225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n-US" w:eastAsia="ru-RU"/>
              </w:rPr>
              <w:t>17 575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Default="00366F5A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1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в размере более чем 35%, с указанием таких товаров, работ, услуг и доли на рынке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3871DE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3. Объекты недвижимого имущества, включая земельные участки АО</w:t>
            </w:r>
            <w:bookmarkEnd w:id="23"/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9A2307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9A2307">
              <w:rPr>
                <w:rFonts w:ascii="Arial Narrow" w:hAnsi="Arial Narrow" w:cs="Arial"/>
              </w:rPr>
              <w:t xml:space="preserve">,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E55866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24,7 кв. м. с 24.09.2016-23.08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.2017 с пролонгацией на 11 мес. </w:t>
            </w:r>
          </w:p>
          <w:p w:rsidR="003871DE" w:rsidRPr="00E55866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23,4 кв. м. с 01.06.2017-30.04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.2018  с пролонгацией на 11 мес. </w:t>
            </w:r>
          </w:p>
          <w:p w:rsidR="003871DE" w:rsidRPr="00E55866" w:rsidRDefault="00BF770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15,7 кв. м. с 22.02.2017-21.01.2018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 xml:space="preserve"> 15,3 кв. м. с 25.03.2017-24.02.2018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 аренда 55,9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04.11.2016-03.10.2017</w:t>
            </w:r>
            <w:r w:rsidR="003871DE"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01.12.2016-31.10.2017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01.02.2017-31.12.2017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01.02.2017-31.12.2017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BF770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E55866">
              <w:rPr>
                <w:rFonts w:ascii="Arial Narrow" w:hAnsi="Arial Narrow" w:cs="Arial"/>
                <w:sz w:val="22"/>
                <w:szCs w:val="22"/>
              </w:rPr>
              <w:t xml:space="preserve">01.01.2017-30.11.2017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01.10.2016-31.08.2017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10.04.2017-09.03.2018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09.08.2016-08.07.2017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E55866">
              <w:rPr>
                <w:rFonts w:ascii="Arial Narrow" w:hAnsi="Arial Narrow" w:cs="Arial"/>
              </w:rPr>
              <w:t xml:space="preserve">- аренда </w:t>
            </w:r>
            <w:r w:rsidR="00AD1CAD" w:rsidRPr="00E55866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E55866">
              <w:rPr>
                <w:rFonts w:ascii="Arial Narrow" w:hAnsi="Arial Narrow" w:cs="Arial"/>
              </w:rPr>
              <w:t xml:space="preserve">кв. м. с </w:t>
            </w:r>
            <w:r w:rsidR="00AD1CAD" w:rsidRPr="00E55866">
              <w:rPr>
                <w:rFonts w:ascii="Arial Narrow" w:eastAsia="Tahoma" w:hAnsi="Arial Narrow" w:cs="Arial"/>
                <w:kern w:val="1"/>
              </w:rPr>
              <w:t>01.04.2017-28.02.2018</w:t>
            </w:r>
            <w:r w:rsidRPr="00E55866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3871DE" w:rsidRPr="00E55866" w:rsidRDefault="003871DE" w:rsidP="004B60B3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31,6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21.03.2017-20.02.2018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E55866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5F25E4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AD1CAD" w:rsidRP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5F25E4">
              <w:rPr>
                <w:rFonts w:ascii="Arial Narrow" w:hAnsi="Arial Narrow" w:cs="Arial"/>
                <w:sz w:val="22"/>
                <w:szCs w:val="22"/>
              </w:rPr>
              <w:t>кв. м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. с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>26.02.2017-25.03.2018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 </w:t>
            </w:r>
            <w:r w:rsidR="00AD1CAD" w:rsidRPr="00E55866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15.06.2017-14.05.2018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49,2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19.09.2016-18.08.2017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24.09.2016-23.08.2017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432E4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31,3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 xml:space="preserve">01.12.2016-31.10.2017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E55866">
              <w:rPr>
                <w:rFonts w:ascii="Arial Narrow" w:hAnsi="Arial Narrow" w:cs="Arial"/>
                <w:sz w:val="22"/>
                <w:szCs w:val="22"/>
              </w:rPr>
              <w:t>09.10.2016-08.09.2017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E55866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>16.01.2017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15.12.2017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65,3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01.01.2017-30.11.2017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24.09.2016-23.08.2017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772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55866">
              <w:rPr>
                <w:rFonts w:ascii="Arial Narrow" w:hAnsi="Arial Narrow" w:cs="Arial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 xml:space="preserve">11,6 </w:t>
            </w:r>
            <w:r w:rsidRPr="00E55866">
              <w:rPr>
                <w:rFonts w:ascii="Arial Narrow" w:hAnsi="Arial Narrow" w:cs="Arial"/>
              </w:rPr>
              <w:t xml:space="preserve">кв. м. с  </w:t>
            </w:r>
            <w:r w:rsidR="0096269A" w:rsidRPr="00E55866">
              <w:rPr>
                <w:rFonts w:ascii="Arial Narrow" w:eastAsia="Tahoma" w:hAnsi="Arial Narrow" w:cs="Arial"/>
                <w:kern w:val="1"/>
              </w:rPr>
              <w:t xml:space="preserve">01.04.2017-28.02.2018 </w:t>
            </w:r>
            <w:r w:rsidRPr="00E55866">
              <w:rPr>
                <w:rFonts w:ascii="Arial Narrow" w:hAnsi="Arial Narrow" w:cs="Arial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01.04.2017-28.02.2018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07.12.2016-06.11.2017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E55866">
              <w:rPr>
                <w:rFonts w:ascii="Arial Narrow" w:hAnsi="Arial Narrow" w:cs="Arial"/>
                <w:sz w:val="22"/>
                <w:szCs w:val="22"/>
              </w:rPr>
              <w:t xml:space="preserve">01.03.2017-31.01.2018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24.09.2016-23.08.2017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23.03.2017-22.02.2018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55866">
              <w:rPr>
                <w:rFonts w:ascii="Arial Narrow" w:hAnsi="Arial Narrow" w:cs="Arial"/>
              </w:rPr>
              <w:t xml:space="preserve">- аренда  </w:t>
            </w:r>
            <w:r w:rsidR="006608F3" w:rsidRPr="00E55866">
              <w:rPr>
                <w:rFonts w:ascii="Arial Narrow" w:eastAsia="Tahoma" w:hAnsi="Arial Narrow" w:cs="Arial"/>
                <w:kern w:val="1"/>
              </w:rPr>
              <w:t xml:space="preserve">31,4 </w:t>
            </w:r>
            <w:r w:rsidRPr="00E55866">
              <w:rPr>
                <w:rFonts w:ascii="Arial Narrow" w:hAnsi="Arial Narrow" w:cs="Arial"/>
              </w:rPr>
              <w:t xml:space="preserve">кв. м. с </w:t>
            </w:r>
            <w:r w:rsidR="006608F3" w:rsidRPr="00E55866">
              <w:rPr>
                <w:rFonts w:ascii="Arial Narrow" w:eastAsia="Tahoma" w:hAnsi="Arial Narrow" w:cs="Arial"/>
                <w:kern w:val="1"/>
              </w:rPr>
              <w:t xml:space="preserve">29.08.2016-28.07.2017 </w:t>
            </w:r>
            <w:r w:rsidRPr="00E55866">
              <w:rPr>
                <w:rFonts w:ascii="Arial Narrow" w:hAnsi="Arial Narrow" w:cs="Arial"/>
              </w:rPr>
              <w:t xml:space="preserve">с пролонгацией на 11 мес. </w:t>
            </w:r>
          </w:p>
          <w:p w:rsidR="003871DE" w:rsidRPr="00E55866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04.04.2017-03.03.2018</w:t>
            </w:r>
            <w:r w:rsidR="00E55866" w:rsidRPr="00E558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E55866" w:rsidRDefault="003871DE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01.10.2016-31.08.2017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01.03.2017-31.01.2018</w:t>
            </w:r>
            <w:r w:rsidR="00E55866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02.09.2016-01.08.2017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29.08.2016-28.07.2017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20.03.2017-19.02.2018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01.08.2016-30.06.2017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207,1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24.09.2016-23.08.2017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01.06.2017-30.04.2018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02.10.2016-01.09.2017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11,3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02.05.2017-01.04.2018</w:t>
            </w:r>
            <w:r w:rsidR="005F25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E55866" w:rsidRDefault="00E55866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23.10.2016-22.09.2017 </w:t>
            </w:r>
            <w:r w:rsidR="006608F3" w:rsidRPr="00E55866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E55866" w:rsidRDefault="00E55866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E5586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21,0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 xml:space="preserve">кв. м. с 06.02.2017-05.01.2018 </w:t>
            </w:r>
            <w:r w:rsidR="005F25E4">
              <w:rPr>
                <w:rFonts w:ascii="Arial Narrow" w:hAnsi="Arial Narrow" w:cs="Arial"/>
                <w:sz w:val="22"/>
                <w:szCs w:val="22"/>
              </w:rPr>
              <w:t xml:space="preserve">с </w:t>
            </w:r>
            <w:r w:rsidRPr="00E55866">
              <w:rPr>
                <w:rFonts w:ascii="Arial Narrow" w:hAnsi="Arial Narrow" w:cs="Arial"/>
                <w:sz w:val="22"/>
                <w:szCs w:val="22"/>
              </w:rPr>
              <w:t>пролонгацией на 11 мес.</w:t>
            </w:r>
          </w:p>
          <w:p w:rsidR="005F25E4" w:rsidRPr="00E55866" w:rsidRDefault="005F25E4" w:rsidP="00E5586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01.12.2016 – 31.10.2017 с </w:t>
            </w: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пролонгацией на 11 мес.</w:t>
            </w:r>
          </w:p>
          <w:p w:rsidR="008942D6" w:rsidRPr="008942D6" w:rsidRDefault="008942D6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9A2307">
              <w:rPr>
                <w:rFonts w:ascii="Arial Narrow" w:hAnsi="Arial Narrow"/>
                <w:sz w:val="22"/>
                <w:szCs w:val="22"/>
              </w:rPr>
              <w:t>124,1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 с 02.08.2011-01.08.2018</w:t>
            </w:r>
          </w:p>
          <w:p w:rsidR="003871DE" w:rsidRPr="009A2307" w:rsidRDefault="003871DE" w:rsidP="00EE12C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28,6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01.10.2016-31.08.2017 с пролонгацией на 11 мес. 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- аренда 61,5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10.12.2016-09.11.2017 с пролонгацией на 11 мес. </w:t>
            </w:r>
          </w:p>
          <w:p w:rsidR="003871DE" w:rsidRDefault="005F25E4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530,3 </w:t>
            </w:r>
            <w:r w:rsidR="003871DE"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.  с 01.02.2017-31.12.2017 с пролонгацией на 11 мес. </w:t>
            </w:r>
          </w:p>
          <w:p w:rsidR="00E15355" w:rsidRPr="009A2307" w:rsidRDefault="00E15355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аренда 76,1</w:t>
            </w:r>
            <w:r w:rsidRPr="00E15355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15355">
              <w:rPr>
                <w:rFonts w:ascii="Arial Narrow" w:hAnsi="Arial Narrow" w:cs="Arial"/>
                <w:sz w:val="22"/>
                <w:szCs w:val="22"/>
              </w:rPr>
              <w:t>.  с 01.02.2017-31.12.2017 с пролонгацией на 11 мес.</w:t>
            </w:r>
          </w:p>
          <w:p w:rsidR="003871DE" w:rsidRPr="009A2307" w:rsidRDefault="003871DE" w:rsidP="00EE12C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9A23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E15355">
              <w:rPr>
                <w:rFonts w:ascii="Arial Narrow" w:hAnsi="Arial Narrow" w:cs="Arial"/>
                <w:sz w:val="22"/>
                <w:szCs w:val="22"/>
              </w:rPr>
              <w:t>.  с 01.04.2017-28.02.2018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130,5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27.01.2017-26.12.2017 с пролонгацией на 11 мес. </w:t>
            </w:r>
          </w:p>
          <w:p w:rsidR="003871DE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70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,6 </w:t>
            </w:r>
            <w:proofErr w:type="spellStart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.  с 01.02.2017-31.12.2017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5355" w:rsidRPr="009A2307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 аренда 138,0</w:t>
            </w:r>
            <w:r w:rsidRPr="00E1535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E15355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15355">
              <w:rPr>
                <w:rFonts w:ascii="Arial Narrow" w:hAnsi="Arial Narrow" w:cs="Arial"/>
                <w:sz w:val="22"/>
                <w:szCs w:val="22"/>
              </w:rPr>
              <w:t>.  с 01.02.2017-31.12.2017 с пролонгацией на 11 мес.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500,0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24.09.2016-23.08.2017 с пролонгацией на 11 мес. 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26.09.2016-25.08.2017 с пролонгацией на 11 мес. </w:t>
            </w:r>
          </w:p>
          <w:p w:rsidR="003871DE" w:rsidRPr="009A2307" w:rsidRDefault="00E15355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01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>.06.</w:t>
            </w:r>
            <w:r>
              <w:rPr>
                <w:rFonts w:ascii="Arial Narrow" w:hAnsi="Arial Narrow" w:cs="Arial"/>
                <w:sz w:val="22"/>
                <w:szCs w:val="22"/>
              </w:rPr>
              <w:t>2017-30.04.2018</w:t>
            </w:r>
            <w:r w:rsidR="003871DE" w:rsidRPr="009A2307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9A2307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.  с 29.10.2015-30.12.2018 с пролонгацией на 11 мес.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lastRenderedPageBreak/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9A2307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  <w:sz w:val="22"/>
                <w:szCs w:val="22"/>
              </w:rPr>
              <w:t>. 8), назначение:  нежилое - свидетельство о государственной регистрации права серия 25-АА №651916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Здание</w:t>
            </w:r>
            <w:r w:rsidR="00553D0A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</w:rPr>
              <w:t>. 9), назначение:  нежилое - свидетельство о государственной регистрации права серия 25-АА №651913 от 07.12.2005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9A2307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 (</w:t>
            </w:r>
            <w:proofErr w:type="gramStart"/>
            <w:r w:rsidRPr="009A2307">
              <w:rPr>
                <w:rFonts w:ascii="Arial Narrow" w:hAnsi="Arial Narrow" w:cs="Arial"/>
              </w:rPr>
              <w:t>лит</w:t>
            </w:r>
            <w:proofErr w:type="gramEnd"/>
            <w:r w:rsidRPr="009A2307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9A2307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87164A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87164A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87164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87164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87164A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87164A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3871DE" w:rsidRPr="0087164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87164A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87164A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87164A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87164A">
              <w:rPr>
                <w:rFonts w:ascii="Arial Narrow" w:hAnsi="Arial Narrow" w:cs="Arial"/>
                <w:sz w:val="22"/>
                <w:szCs w:val="22"/>
              </w:rPr>
              <w:t xml:space="preserve">      с 11.12.2016 по 10.11.2017 с пролонгацией на 11 мес. </w:t>
            </w:r>
          </w:p>
          <w:p w:rsidR="003871DE" w:rsidRPr="009A2307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9A2307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9A2307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9A2307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AF522A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AF522A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AF522A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9A2307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AF522A">
              <w:rPr>
                <w:rFonts w:ascii="Arial Narrow" w:eastAsiaTheme="minorEastAsia" w:hAnsi="Arial Narrow" w:cs="Arial"/>
                <w:lang w:eastAsia="ru-RU"/>
              </w:rPr>
              <w:t xml:space="preserve">ьзует сооружение: </w:t>
            </w:r>
            <w:r w:rsidR="009A2307" w:rsidRPr="00AF522A">
              <w:rPr>
                <w:rFonts w:ascii="Arial Narrow" w:eastAsiaTheme="minorEastAsia" w:hAnsi="Arial Narrow" w:cs="Arial"/>
                <w:lang w:eastAsia="ru-RU"/>
              </w:rPr>
              <w:lastRenderedPageBreak/>
              <w:t>собственность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6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22A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AF522A">
              <w:rPr>
                <w:rFonts w:ascii="Arial Narrow" w:hAnsi="Arial Narrow" w:cs="Arial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AF522A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AF522A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AF522A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AF522A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AF522A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AF522A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AF522A" w:rsidRDefault="00AF522A" w:rsidP="00956A8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10.06.2017 по 09.05.2018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AF522A" w:rsidRDefault="00AF522A" w:rsidP="004928B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  с 07.05.2017 по 06.04.2018</w:t>
            </w:r>
            <w:r w:rsidR="003871DE" w:rsidRPr="00AF522A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AF522A" w:rsidRDefault="003871DE" w:rsidP="004928B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AF522A">
              <w:rPr>
                <w:rFonts w:ascii="Arial Narrow" w:hAnsi="Arial Narrow" w:cs="Arial"/>
                <w:sz w:val="22"/>
                <w:szCs w:val="22"/>
              </w:rPr>
              <w:t xml:space="preserve">.  с 11.08.2016 по 10.07.2017 с пролонгацией на 11 мес. </w:t>
            </w:r>
          </w:p>
          <w:p w:rsidR="003871DE" w:rsidRPr="009A2307" w:rsidRDefault="003871DE" w:rsidP="003871DE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AF522A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AF522A">
              <w:rPr>
                <w:rFonts w:ascii="Arial Narrow" w:hAnsi="Arial Narrow" w:cs="Arial"/>
                <w:sz w:val="22"/>
                <w:szCs w:val="22"/>
              </w:rPr>
              <w:t xml:space="preserve"> 13 </w:t>
            </w:r>
            <w:proofErr w:type="spellStart"/>
            <w:r w:rsidR="00AF522A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="00AF522A">
              <w:rPr>
                <w:rFonts w:ascii="Arial Narrow" w:hAnsi="Arial Narrow" w:cs="Arial"/>
                <w:sz w:val="22"/>
                <w:szCs w:val="22"/>
              </w:rPr>
              <w:t>.  с 03.10.2016 по 02.09</w:t>
            </w:r>
            <w:r w:rsidRPr="00AF522A">
              <w:rPr>
                <w:rFonts w:ascii="Arial Narrow" w:hAnsi="Arial Narrow" w:cs="Arial"/>
                <w:sz w:val="22"/>
                <w:szCs w:val="22"/>
              </w:rPr>
              <w:t>.2017 с пролонгацией на 11 мес.</w:t>
            </w:r>
            <w:r w:rsidRPr="009A230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3.5</w:t>
            </w:r>
            <w:bookmarkEnd w:id="2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  <w:bookmarkStart w:id="29" w:name="_GoBack"/>
            <w:bookmarkEnd w:id="29"/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871DE" w:rsidRPr="009A2307" w:rsidTr="001F7DFE">
        <w:tc>
          <w:tcPr>
            <w:tcW w:w="102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4. Иные сведения</w:t>
            </w:r>
            <w:bookmarkEnd w:id="31"/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56ACE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1.САЙТ (газета "Дальпресс") – 10 лет;   </w:t>
            </w:r>
          </w:p>
          <w:p w:rsidR="00556ACE" w:rsidRPr="00556ACE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2.Сайт ОАО ИПК "Дальпресс" – 10 лет.</w:t>
            </w:r>
          </w:p>
          <w:p w:rsidR="003871DE" w:rsidRPr="004901D8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1.Рулонная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офс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ечат.машина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MAN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Roland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Uniset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75 LSZ AG-D86135;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2.Одноножевая резальная машина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Perfecta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115 TS;               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3.КТП-2 Трансформатор ТСЗГЛФ-1000/0.6/0.4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Д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/Ун-11(левое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исполн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4.ВШРА /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Вкладочно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-ш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вейно-резальная линия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BravoPlus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5.Ниткошвейная машина F180 4D;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6.КТП-1 Трансформатор ТСЗГЛ-630/10-УЗ,6/0,4кВ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/Ун-11 (правое);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7.Система водяного пожаротушения (Красное Знамя);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8.КТП-1 Трансформатор ТС3ГЛ-630/10-УЗ,6/0,4кВ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Ун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(левое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испол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9.КТП-2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Выключат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.н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агрузки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(моноблок)RM6NEDI-200А-6кВ-16кА-24кВ;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10.Печатная машина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Gallus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EM 410.79S;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11. КТП-2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Выключат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.н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агрузки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(моноблок)RM6NEDI-200А-6кВ-16кА-24кВ;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12. Ламинатор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Komfi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Sagitta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13. Лифт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.г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рузовой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ПГ-3005;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14. Офсетная 8-ми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красоч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.п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ечатн.машина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 переворотом SM 102-8-Р;</w:t>
            </w:r>
          </w:p>
          <w:p w:rsidR="00556ACE" w:rsidRPr="00556ACE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15. КТП-2 Трансформатор ТСЗГЛФ-1000/6,0/0,4 Д/Ун-11(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прав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.и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сп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3871DE" w:rsidRPr="004901D8" w:rsidRDefault="00556ACE" w:rsidP="00556ACE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16. А/м HINO300 </w:t>
            </w:r>
            <w:proofErr w:type="spell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груз</w:t>
            </w:r>
            <w:proofErr w:type="gramStart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.ф</w:t>
            </w:r>
            <w:proofErr w:type="gram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>ург</w:t>
            </w:r>
            <w:proofErr w:type="spellEnd"/>
            <w:r w:rsidRPr="00556AC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С686СС .VIN:XUE4364UCC000039.  </w:t>
            </w:r>
            <w:r w:rsidR="003871DE" w:rsidRPr="004901D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                           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1. Списанная в убыток задолженность неплатежеспособных дебиторов – 7 712,6 тыс. руб.</w:t>
            </w:r>
          </w:p>
          <w:p w:rsidR="003871DE" w:rsidRPr="004901D8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2. Материалы, принятые в переработку –  116,0 тыс. руб.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56ACE" w:rsidRDefault="00556ACE" w:rsidP="00556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6ACE">
              <w:rPr>
                <w:rFonts w:ascii="Arial Narrow" w:hAnsi="Arial Narrow"/>
                <w:sz w:val="20"/>
                <w:szCs w:val="20"/>
              </w:rPr>
              <w:t xml:space="preserve">По состоянию на </w:t>
            </w:r>
            <w:r>
              <w:rPr>
                <w:rFonts w:ascii="Arial Narrow" w:hAnsi="Arial Narrow"/>
                <w:sz w:val="20"/>
                <w:szCs w:val="20"/>
              </w:rPr>
              <w:t>30.06</w:t>
            </w:r>
            <w:r w:rsidRPr="00556ACE">
              <w:rPr>
                <w:rFonts w:ascii="Arial Narrow" w:hAnsi="Arial Narrow"/>
                <w:sz w:val="20"/>
                <w:szCs w:val="20"/>
              </w:rPr>
              <w:t>.2016 г. вся задолженность является текущей.</w:t>
            </w:r>
          </w:p>
          <w:p w:rsidR="00556ACE" w:rsidRPr="00556ACE" w:rsidRDefault="00556ACE" w:rsidP="00556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6ACE">
              <w:rPr>
                <w:rFonts w:ascii="Arial Narrow" w:hAnsi="Arial Narrow"/>
                <w:sz w:val="20"/>
                <w:szCs w:val="20"/>
              </w:rPr>
              <w:t>Задолженность в федеральный бюджет – 7 839 тыс. руб.;</w:t>
            </w:r>
          </w:p>
          <w:p w:rsidR="00556ACE" w:rsidRPr="00556ACE" w:rsidRDefault="00556ACE" w:rsidP="00556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6ACE">
              <w:rPr>
                <w:rFonts w:ascii="Arial Narrow" w:hAnsi="Arial Narrow"/>
                <w:sz w:val="20"/>
                <w:szCs w:val="20"/>
              </w:rPr>
              <w:t>Задолженность в региональный и местный бюджет – 1 397 тыс. руб.</w:t>
            </w:r>
          </w:p>
          <w:p w:rsidR="003871DE" w:rsidRPr="004901D8" w:rsidRDefault="00556ACE" w:rsidP="00556ACE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556ACE">
              <w:rPr>
                <w:rFonts w:ascii="Arial Narrow" w:hAnsi="Arial Narrow"/>
                <w:sz w:val="20"/>
                <w:szCs w:val="20"/>
              </w:rPr>
              <w:t>Задолженность по платежам в государственные внебюджетные фонды – 2 023 тыс. руб.</w:t>
            </w:r>
          </w:p>
        </w:tc>
      </w:tr>
      <w:tr w:rsidR="003871DE" w:rsidRPr="009A2307" w:rsidTr="00366F5A">
        <w:trPr>
          <w:trHeight w:val="595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4.5</w:t>
            </w:r>
            <w:bookmarkEnd w:id="36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2016г.</w:t>
            </w:r>
          </w:p>
        </w:tc>
      </w:tr>
      <w:tr w:rsidR="003871DE" w:rsidRPr="009A2307" w:rsidTr="00366F5A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372 925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433 191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448 397</w:t>
            </w:r>
          </w:p>
        </w:tc>
      </w:tr>
      <w:tr w:rsidR="003871DE" w:rsidRPr="009A2307" w:rsidTr="00366F5A">
        <w:trPr>
          <w:trHeight w:val="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л-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176 911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130 392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137 763</w:t>
            </w:r>
          </w:p>
        </w:tc>
      </w:tr>
      <w:tr w:rsidR="003871DE" w:rsidRPr="009A2307" w:rsidTr="00366F5A">
        <w:trPr>
          <w:trHeight w:val="31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259 932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340 403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362 323</w:t>
            </w:r>
          </w:p>
        </w:tc>
      </w:tr>
      <w:tr w:rsidR="003871DE" w:rsidRPr="009A2307" w:rsidTr="00366F5A">
        <w:trPr>
          <w:trHeight w:val="29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л-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135 987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119 118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126 620</w:t>
            </w:r>
          </w:p>
        </w:tc>
      </w:tr>
      <w:tr w:rsidR="003871DE" w:rsidRPr="009A2307" w:rsidTr="00366F5A">
        <w:trPr>
          <w:trHeight w:val="87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69 550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66 770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82 086</w:t>
            </w:r>
          </w:p>
        </w:tc>
      </w:tr>
      <w:tr w:rsidR="003871DE" w:rsidRPr="009A2307" w:rsidTr="00366F5A">
        <w:trPr>
          <w:trHeight w:val="10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118 447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102 417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108 564</w:t>
            </w:r>
          </w:p>
        </w:tc>
      </w:tr>
      <w:tr w:rsidR="003871DE" w:rsidRPr="009A2307" w:rsidTr="00366F5A">
        <w:trPr>
          <w:trHeight w:val="19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27 645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27 258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29 117</w:t>
            </w:r>
          </w:p>
        </w:tc>
      </w:tr>
      <w:tr w:rsidR="003871DE" w:rsidRPr="009A2307" w:rsidTr="00366F5A">
        <w:trPr>
          <w:trHeight w:val="20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2 028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2 352</w:t>
            </w:r>
          </w:p>
        </w:tc>
      </w:tr>
      <w:tr w:rsidR="003871DE" w:rsidRPr="009A2307" w:rsidTr="00366F5A">
        <w:trPr>
          <w:trHeight w:val="2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91 261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149 903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147 299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10 920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11 041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10 443</w:t>
            </w:r>
          </w:p>
        </w:tc>
      </w:tr>
      <w:tr w:rsidR="003871DE" w:rsidRPr="009A2307" w:rsidTr="00366F5A">
        <w:trPr>
          <w:trHeight w:val="7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46 622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74 939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77 800</w:t>
            </w:r>
          </w:p>
        </w:tc>
      </w:tr>
      <w:tr w:rsidR="003871DE" w:rsidRPr="009A2307" w:rsidTr="00366F5A">
        <w:trPr>
          <w:trHeight w:val="32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1 332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1 519</w:t>
            </w:r>
          </w:p>
        </w:tc>
      </w:tr>
      <w:tr w:rsidR="003871DE" w:rsidRPr="009A2307" w:rsidTr="00366F5A">
        <w:trPr>
          <w:trHeight w:val="255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24 854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21 533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26 021</w:t>
            </w:r>
          </w:p>
        </w:tc>
      </w:tr>
      <w:tr w:rsidR="003871DE" w:rsidRPr="009A2307" w:rsidTr="00366F5A">
        <w:trPr>
          <w:trHeight w:val="143"/>
        </w:trPr>
        <w:tc>
          <w:tcPr>
            <w:tcW w:w="9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л-</w:t>
            </w:r>
            <w:proofErr w:type="spellStart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2 987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2 173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3 742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71 634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33 782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20 930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л-</w:t>
            </w:r>
            <w:proofErr w:type="spellStart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40 924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11 274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76CDB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11 143</w:t>
            </w:r>
          </w:p>
        </w:tc>
      </w:tr>
      <w:tr w:rsidR="003871DE" w:rsidRPr="009A2307" w:rsidTr="00366F5A">
        <w:trPr>
          <w:trHeight w:val="330"/>
        </w:trPr>
        <w:tc>
          <w:tcPr>
            <w:tcW w:w="975" w:type="dxa"/>
            <w:vMerge/>
            <w:tcBorders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7971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19 652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22 277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29 076</w:t>
            </w:r>
          </w:p>
        </w:tc>
      </w:tr>
      <w:tr w:rsidR="003871DE" w:rsidRPr="009A2307" w:rsidTr="00366F5A">
        <w:trPr>
          <w:trHeight w:val="649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21 707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36 729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1DE" w:rsidRPr="009A2307" w:rsidRDefault="003871DE" w:rsidP="003871D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230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36 068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>Фактически объем инвестиций: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9A2307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Pr="009A2307"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9A2307"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 w:rsidRPr="009A2307"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9A2307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9A2307"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 w:rsidRPr="009A2307"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 w:rsidR="003871DE" w:rsidRPr="009A2307" w:rsidRDefault="003871DE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3871DE" w:rsidRPr="009A2307" w:rsidRDefault="003871DE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3871DE" w:rsidRPr="009A2307" w:rsidRDefault="003871DE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lang w:eastAsia="ru-RU"/>
              </w:rPr>
              <w:t xml:space="preserve">2.ОАО "Издательско-полиграфическая фирма "Воронеж" </w:t>
            </w:r>
            <w:r w:rsidRPr="00556ACE">
              <w:rPr>
                <w:rFonts w:ascii="Arial Narrow" w:eastAsiaTheme="minorEastAsia" w:hAnsi="Arial Narrow" w:cs="Arial"/>
                <w:lang w:eastAsia="ru-RU"/>
              </w:rPr>
              <w:lastRenderedPageBreak/>
              <w:t>ОГРН 1053600607400, доля участия – 0%, акций – 0.</w:t>
            </w:r>
          </w:p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lang w:eastAsia="ru-RU"/>
              </w:rPr>
              <w:t>3.АО "Первая Образцовая типография" Москва                                    ОГРН 1052504445487, доля участия – 0%, акций – 0.</w:t>
            </w:r>
          </w:p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lang w:eastAsia="ru-RU"/>
              </w:rPr>
              <w:t>4.Филиал  "Чеховский Печатный Двор" АО "Первая Образцовая типография"   ОГРН 1057749708631, доля участия – 0%, акций -0.</w:t>
            </w:r>
          </w:p>
          <w:p w:rsidR="00556AC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56ACE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lang w:eastAsia="ru-RU"/>
              </w:rPr>
              <w:t>ПАО АКБ "СВЯЗЬ-БАНК"  ОГРН 1027700159288, доля участия – 0%, акций – 0.</w:t>
            </w:r>
          </w:p>
          <w:p w:rsidR="003871DE" w:rsidRPr="00556ACE" w:rsidRDefault="00556ACE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56ACE">
              <w:rPr>
                <w:rFonts w:ascii="Arial Narrow" w:eastAsiaTheme="minorEastAsia" w:hAnsi="Arial Narrow" w:cs="Arial"/>
                <w:lang w:eastAsia="ru-RU"/>
              </w:rPr>
              <w:t xml:space="preserve">Банк БТБ (ПАО) ОГРН 1027739609391, доля участия -0%              </w:t>
            </w:r>
          </w:p>
        </w:tc>
      </w:tr>
      <w:tr w:rsidR="003871DE" w:rsidRPr="009A2307" w:rsidTr="00366F5A"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4.8</w:t>
            </w:r>
            <w:bookmarkEnd w:id="39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3B38AA" w:rsidRDefault="006F368B">
      <w:r>
        <w:t>30</w:t>
      </w:r>
      <w:r w:rsidR="003B38AA">
        <w:t>.0</w:t>
      </w:r>
      <w:r w:rsidR="00C02EE7">
        <w:t>6</w:t>
      </w:r>
      <w:r w:rsidR="003B38AA">
        <w:t>.2017</w:t>
      </w:r>
    </w:p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10DD6"/>
    <w:rsid w:val="000316BA"/>
    <w:rsid w:val="00043AFD"/>
    <w:rsid w:val="0005469C"/>
    <w:rsid w:val="0005733B"/>
    <w:rsid w:val="00057CA4"/>
    <w:rsid w:val="00063142"/>
    <w:rsid w:val="00071F7F"/>
    <w:rsid w:val="00074630"/>
    <w:rsid w:val="0007480A"/>
    <w:rsid w:val="00075180"/>
    <w:rsid w:val="00077A32"/>
    <w:rsid w:val="00090161"/>
    <w:rsid w:val="00097260"/>
    <w:rsid w:val="000A134E"/>
    <w:rsid w:val="000A2FF6"/>
    <w:rsid w:val="000D1DAE"/>
    <w:rsid w:val="00101E55"/>
    <w:rsid w:val="001041C3"/>
    <w:rsid w:val="00105EB0"/>
    <w:rsid w:val="001175C2"/>
    <w:rsid w:val="00125B8C"/>
    <w:rsid w:val="00131138"/>
    <w:rsid w:val="00137FF1"/>
    <w:rsid w:val="00155EDE"/>
    <w:rsid w:val="00166A30"/>
    <w:rsid w:val="00170DC3"/>
    <w:rsid w:val="001776FC"/>
    <w:rsid w:val="00183020"/>
    <w:rsid w:val="00183D89"/>
    <w:rsid w:val="00190577"/>
    <w:rsid w:val="00192A0D"/>
    <w:rsid w:val="001A3FD4"/>
    <w:rsid w:val="001A5B72"/>
    <w:rsid w:val="001C1D62"/>
    <w:rsid w:val="001C271D"/>
    <w:rsid w:val="001D39AD"/>
    <w:rsid w:val="001D475D"/>
    <w:rsid w:val="001E2B0B"/>
    <w:rsid w:val="001F7DFE"/>
    <w:rsid w:val="00206A0D"/>
    <w:rsid w:val="00207681"/>
    <w:rsid w:val="002205F2"/>
    <w:rsid w:val="00223DEB"/>
    <w:rsid w:val="002274C2"/>
    <w:rsid w:val="00251CA5"/>
    <w:rsid w:val="00256129"/>
    <w:rsid w:val="00262AA6"/>
    <w:rsid w:val="00264121"/>
    <w:rsid w:val="0026711D"/>
    <w:rsid w:val="00273D13"/>
    <w:rsid w:val="002812A4"/>
    <w:rsid w:val="00284F08"/>
    <w:rsid w:val="00290861"/>
    <w:rsid w:val="0029268C"/>
    <w:rsid w:val="002B38B1"/>
    <w:rsid w:val="002C24C0"/>
    <w:rsid w:val="002C2D79"/>
    <w:rsid w:val="002E30C1"/>
    <w:rsid w:val="002F4BE4"/>
    <w:rsid w:val="0030099A"/>
    <w:rsid w:val="00302CB9"/>
    <w:rsid w:val="0032469F"/>
    <w:rsid w:val="003270A1"/>
    <w:rsid w:val="00341F0C"/>
    <w:rsid w:val="00342019"/>
    <w:rsid w:val="003426F0"/>
    <w:rsid w:val="00352770"/>
    <w:rsid w:val="00353DE3"/>
    <w:rsid w:val="00354E69"/>
    <w:rsid w:val="003614F3"/>
    <w:rsid w:val="00366DA1"/>
    <w:rsid w:val="00366F5A"/>
    <w:rsid w:val="00370178"/>
    <w:rsid w:val="00374933"/>
    <w:rsid w:val="00374D38"/>
    <w:rsid w:val="00382B8C"/>
    <w:rsid w:val="003871DE"/>
    <w:rsid w:val="00391DAA"/>
    <w:rsid w:val="003955BF"/>
    <w:rsid w:val="003A1252"/>
    <w:rsid w:val="003B38AA"/>
    <w:rsid w:val="003B5711"/>
    <w:rsid w:val="003C2527"/>
    <w:rsid w:val="003E0101"/>
    <w:rsid w:val="003E077C"/>
    <w:rsid w:val="003E22A2"/>
    <w:rsid w:val="003F1D9C"/>
    <w:rsid w:val="00400536"/>
    <w:rsid w:val="0040178A"/>
    <w:rsid w:val="00410978"/>
    <w:rsid w:val="00432E40"/>
    <w:rsid w:val="00433E7D"/>
    <w:rsid w:val="00436FC8"/>
    <w:rsid w:val="00444C84"/>
    <w:rsid w:val="00445125"/>
    <w:rsid w:val="00453357"/>
    <w:rsid w:val="00453F5F"/>
    <w:rsid w:val="00470D69"/>
    <w:rsid w:val="00471F94"/>
    <w:rsid w:val="004901D8"/>
    <w:rsid w:val="0049046A"/>
    <w:rsid w:val="004928B8"/>
    <w:rsid w:val="00494290"/>
    <w:rsid w:val="004A2D15"/>
    <w:rsid w:val="004B60B3"/>
    <w:rsid w:val="004D7B5F"/>
    <w:rsid w:val="004E28BC"/>
    <w:rsid w:val="00500FB4"/>
    <w:rsid w:val="005076C7"/>
    <w:rsid w:val="00530003"/>
    <w:rsid w:val="00534709"/>
    <w:rsid w:val="005410B6"/>
    <w:rsid w:val="00553D0A"/>
    <w:rsid w:val="0055407B"/>
    <w:rsid w:val="00556ACE"/>
    <w:rsid w:val="00571A94"/>
    <w:rsid w:val="00580380"/>
    <w:rsid w:val="00587179"/>
    <w:rsid w:val="0058742F"/>
    <w:rsid w:val="005B038C"/>
    <w:rsid w:val="005B3DFB"/>
    <w:rsid w:val="005C1008"/>
    <w:rsid w:val="005D735C"/>
    <w:rsid w:val="005D758A"/>
    <w:rsid w:val="005F25E4"/>
    <w:rsid w:val="005F4160"/>
    <w:rsid w:val="00600016"/>
    <w:rsid w:val="006050E5"/>
    <w:rsid w:val="00605374"/>
    <w:rsid w:val="0063210A"/>
    <w:rsid w:val="006449FB"/>
    <w:rsid w:val="006608F3"/>
    <w:rsid w:val="006620F2"/>
    <w:rsid w:val="0066315C"/>
    <w:rsid w:val="006A064C"/>
    <w:rsid w:val="006A2631"/>
    <w:rsid w:val="006A2ED8"/>
    <w:rsid w:val="006A41ED"/>
    <w:rsid w:val="006B3E2C"/>
    <w:rsid w:val="006C07DD"/>
    <w:rsid w:val="006C34D6"/>
    <w:rsid w:val="006C5408"/>
    <w:rsid w:val="006C73D2"/>
    <w:rsid w:val="006E2766"/>
    <w:rsid w:val="006F368B"/>
    <w:rsid w:val="006F47CF"/>
    <w:rsid w:val="006F4B04"/>
    <w:rsid w:val="00725AE7"/>
    <w:rsid w:val="007337C6"/>
    <w:rsid w:val="00737F5F"/>
    <w:rsid w:val="00755A92"/>
    <w:rsid w:val="00755D57"/>
    <w:rsid w:val="00760EFD"/>
    <w:rsid w:val="00764A7F"/>
    <w:rsid w:val="00766F10"/>
    <w:rsid w:val="0077246B"/>
    <w:rsid w:val="00774727"/>
    <w:rsid w:val="00776CDB"/>
    <w:rsid w:val="00783C51"/>
    <w:rsid w:val="00794085"/>
    <w:rsid w:val="00797160"/>
    <w:rsid w:val="007A6C3F"/>
    <w:rsid w:val="007B21A9"/>
    <w:rsid w:val="007E0AF4"/>
    <w:rsid w:val="007E67CE"/>
    <w:rsid w:val="00803AB4"/>
    <w:rsid w:val="00804012"/>
    <w:rsid w:val="008123DD"/>
    <w:rsid w:val="00820D99"/>
    <w:rsid w:val="0082355D"/>
    <w:rsid w:val="00834A19"/>
    <w:rsid w:val="00845137"/>
    <w:rsid w:val="008644D1"/>
    <w:rsid w:val="0087164A"/>
    <w:rsid w:val="00875218"/>
    <w:rsid w:val="00882CB4"/>
    <w:rsid w:val="008915ED"/>
    <w:rsid w:val="00891D77"/>
    <w:rsid w:val="00892AFB"/>
    <w:rsid w:val="008942D6"/>
    <w:rsid w:val="00895213"/>
    <w:rsid w:val="00895EDD"/>
    <w:rsid w:val="008A26B3"/>
    <w:rsid w:val="008B3261"/>
    <w:rsid w:val="008B7644"/>
    <w:rsid w:val="008C28B8"/>
    <w:rsid w:val="008D517F"/>
    <w:rsid w:val="008D628B"/>
    <w:rsid w:val="008E7802"/>
    <w:rsid w:val="008F74B8"/>
    <w:rsid w:val="009009FC"/>
    <w:rsid w:val="00904923"/>
    <w:rsid w:val="009050D5"/>
    <w:rsid w:val="009078F1"/>
    <w:rsid w:val="009211B5"/>
    <w:rsid w:val="009232C9"/>
    <w:rsid w:val="0093239D"/>
    <w:rsid w:val="009340F3"/>
    <w:rsid w:val="009405C6"/>
    <w:rsid w:val="00941867"/>
    <w:rsid w:val="009442AB"/>
    <w:rsid w:val="0095343F"/>
    <w:rsid w:val="00956A8C"/>
    <w:rsid w:val="0096269A"/>
    <w:rsid w:val="0096462B"/>
    <w:rsid w:val="0096502D"/>
    <w:rsid w:val="00967ADA"/>
    <w:rsid w:val="00971EA9"/>
    <w:rsid w:val="00985455"/>
    <w:rsid w:val="0099433A"/>
    <w:rsid w:val="00996816"/>
    <w:rsid w:val="00996AA7"/>
    <w:rsid w:val="009A2307"/>
    <w:rsid w:val="009B0E00"/>
    <w:rsid w:val="009B2BD2"/>
    <w:rsid w:val="009B67B4"/>
    <w:rsid w:val="009D5E10"/>
    <w:rsid w:val="009E59AD"/>
    <w:rsid w:val="009F4D67"/>
    <w:rsid w:val="00A02C05"/>
    <w:rsid w:val="00A13402"/>
    <w:rsid w:val="00A27CAE"/>
    <w:rsid w:val="00A331BB"/>
    <w:rsid w:val="00A3758E"/>
    <w:rsid w:val="00A4330E"/>
    <w:rsid w:val="00A521D9"/>
    <w:rsid w:val="00A5362D"/>
    <w:rsid w:val="00A8257C"/>
    <w:rsid w:val="00A8531E"/>
    <w:rsid w:val="00A91A8F"/>
    <w:rsid w:val="00AA0BED"/>
    <w:rsid w:val="00AB3F9E"/>
    <w:rsid w:val="00AB51AA"/>
    <w:rsid w:val="00AD1CAD"/>
    <w:rsid w:val="00AD2725"/>
    <w:rsid w:val="00AE12D6"/>
    <w:rsid w:val="00AE3BAA"/>
    <w:rsid w:val="00AE5E1E"/>
    <w:rsid w:val="00AF0C07"/>
    <w:rsid w:val="00AF4676"/>
    <w:rsid w:val="00AF522A"/>
    <w:rsid w:val="00B07E70"/>
    <w:rsid w:val="00B15C39"/>
    <w:rsid w:val="00B64535"/>
    <w:rsid w:val="00B74384"/>
    <w:rsid w:val="00B93C11"/>
    <w:rsid w:val="00B96F89"/>
    <w:rsid w:val="00B97599"/>
    <w:rsid w:val="00BB21B7"/>
    <w:rsid w:val="00BC4682"/>
    <w:rsid w:val="00BC772E"/>
    <w:rsid w:val="00BD026A"/>
    <w:rsid w:val="00BE4D79"/>
    <w:rsid w:val="00BF770E"/>
    <w:rsid w:val="00C00F4A"/>
    <w:rsid w:val="00C02EE7"/>
    <w:rsid w:val="00C03025"/>
    <w:rsid w:val="00C16F18"/>
    <w:rsid w:val="00C26CFF"/>
    <w:rsid w:val="00C3121E"/>
    <w:rsid w:val="00C33967"/>
    <w:rsid w:val="00C35F8B"/>
    <w:rsid w:val="00C5129B"/>
    <w:rsid w:val="00C75A0E"/>
    <w:rsid w:val="00C75E0F"/>
    <w:rsid w:val="00C76A4E"/>
    <w:rsid w:val="00C9314D"/>
    <w:rsid w:val="00CA54DD"/>
    <w:rsid w:val="00CB62B7"/>
    <w:rsid w:val="00CB641C"/>
    <w:rsid w:val="00CC58F8"/>
    <w:rsid w:val="00CC7E0F"/>
    <w:rsid w:val="00CF4EC1"/>
    <w:rsid w:val="00CF5A50"/>
    <w:rsid w:val="00D0172B"/>
    <w:rsid w:val="00D056B8"/>
    <w:rsid w:val="00D12335"/>
    <w:rsid w:val="00D20E67"/>
    <w:rsid w:val="00D35121"/>
    <w:rsid w:val="00D3772F"/>
    <w:rsid w:val="00D46501"/>
    <w:rsid w:val="00D62099"/>
    <w:rsid w:val="00D64FB0"/>
    <w:rsid w:val="00D668F1"/>
    <w:rsid w:val="00D72173"/>
    <w:rsid w:val="00D771BA"/>
    <w:rsid w:val="00D77B4B"/>
    <w:rsid w:val="00DA3D9A"/>
    <w:rsid w:val="00DB474E"/>
    <w:rsid w:val="00DC043C"/>
    <w:rsid w:val="00DF1BB8"/>
    <w:rsid w:val="00DF2175"/>
    <w:rsid w:val="00E13C46"/>
    <w:rsid w:val="00E15355"/>
    <w:rsid w:val="00E252D5"/>
    <w:rsid w:val="00E5190A"/>
    <w:rsid w:val="00E539A0"/>
    <w:rsid w:val="00E55866"/>
    <w:rsid w:val="00E5701E"/>
    <w:rsid w:val="00E607DB"/>
    <w:rsid w:val="00E64033"/>
    <w:rsid w:val="00E640C6"/>
    <w:rsid w:val="00E659E9"/>
    <w:rsid w:val="00E76A59"/>
    <w:rsid w:val="00E903C1"/>
    <w:rsid w:val="00E97643"/>
    <w:rsid w:val="00EA0223"/>
    <w:rsid w:val="00EC111B"/>
    <w:rsid w:val="00EE12CA"/>
    <w:rsid w:val="00EE39D3"/>
    <w:rsid w:val="00EF1106"/>
    <w:rsid w:val="00EF202A"/>
    <w:rsid w:val="00EF380F"/>
    <w:rsid w:val="00F03BB1"/>
    <w:rsid w:val="00F16362"/>
    <w:rsid w:val="00F2211D"/>
    <w:rsid w:val="00F3036E"/>
    <w:rsid w:val="00F35997"/>
    <w:rsid w:val="00F424E8"/>
    <w:rsid w:val="00F61692"/>
    <w:rsid w:val="00F661C3"/>
    <w:rsid w:val="00F66A9E"/>
    <w:rsid w:val="00F72333"/>
    <w:rsid w:val="00F91924"/>
    <w:rsid w:val="00F9277B"/>
    <w:rsid w:val="00FA5FC6"/>
    <w:rsid w:val="00FB3E12"/>
    <w:rsid w:val="00FC305B"/>
    <w:rsid w:val="00FD35DA"/>
    <w:rsid w:val="00FD6409"/>
    <w:rsid w:val="00FD77CE"/>
    <w:rsid w:val="00FE0199"/>
    <w:rsid w:val="00FE640E"/>
    <w:rsid w:val="00FF325F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Card/070ca024-ede9-41a2-9886-b8811ef38291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d.arbitr.ru/Card/c7ea256e-37da-4c9b-abe1-bbcdf546da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BE79-88F4-4CEC-B841-A1C34933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11</cp:revision>
  <cp:lastPrinted>2017-07-17T03:01:00Z</cp:lastPrinted>
  <dcterms:created xsi:type="dcterms:W3CDTF">2017-07-16T22:51:00Z</dcterms:created>
  <dcterms:modified xsi:type="dcterms:W3CDTF">2017-07-19T05:32:00Z</dcterms:modified>
</cp:coreProperties>
</file>